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DC" w:rsidRPr="00A022B0" w:rsidRDefault="00A022B0" w:rsidP="00C64FB7">
      <w:pPr>
        <w:spacing w:line="240" w:lineRule="auto"/>
        <w:ind w:left="284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OBRAZAC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IZJAVE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PREDLOGA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IZMENAMA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DOPUNAMA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TRANSPORTU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OPASNE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ROBE</w:t>
      </w:r>
      <w:r w:rsidR="00C64FB7" w:rsidRPr="00A022B0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PROPISIMA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</w:p>
    <w:p w:rsidR="00C532DC" w:rsidRPr="00A022B0" w:rsidRDefault="00C532DC" w:rsidP="00C532DC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</w:p>
    <w:p w:rsidR="00C532DC" w:rsidRPr="00A022B0" w:rsidRDefault="00C532DC" w:rsidP="00C532DC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022B0">
        <w:rPr>
          <w:rFonts w:ascii="Times New Roman" w:hAnsi="Times New Roman"/>
          <w:b/>
          <w:noProof/>
          <w:sz w:val="24"/>
          <w:szCs w:val="24"/>
          <w:lang w:val="sr-Latn-CS" w:eastAsia="hr-HR"/>
        </w:rPr>
        <w:t xml:space="preserve">1.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Ovlašćeni</w:t>
      </w:r>
      <w:r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predlagač</w:t>
      </w:r>
      <w:r w:rsidR="00D67326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Vlada</w:t>
      </w:r>
    </w:p>
    <w:p w:rsidR="00C532DC" w:rsidRPr="00A022B0" w:rsidRDefault="00D4497B" w:rsidP="00D4497B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  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Obrađivač</w:t>
      </w:r>
      <w:r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propisa</w:t>
      </w:r>
      <w:r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Ministarstvo</w:t>
      </w:r>
      <w:r w:rsidR="00C532DC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građevinarstva</w:t>
      </w:r>
      <w:r w:rsidR="00C532DC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saobraćaja</w:t>
      </w:r>
      <w:r w:rsidR="00C532DC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C532DC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infrastrukture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sr-Latn-CS" w:eastAsia="hr-HR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2.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Naziv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propisa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sr-Latn-CS" w:eastAsia="hr-HR"/>
        </w:rPr>
      </w:pPr>
    </w:p>
    <w:p w:rsidR="002B4D39" w:rsidRPr="00A022B0" w:rsidRDefault="00A022B0" w:rsidP="002B4D39">
      <w:pPr>
        <w:ind w:left="28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D56C28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transportu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robe</w:t>
      </w:r>
    </w:p>
    <w:p w:rsidR="002B4D39" w:rsidRPr="00A022B0" w:rsidRDefault="002B4D39" w:rsidP="002B4D39">
      <w:pPr>
        <w:ind w:left="28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022B0">
        <w:rPr>
          <w:rFonts w:ascii="Times New Roman" w:hAnsi="Times New Roman"/>
          <w:noProof/>
          <w:sz w:val="24"/>
          <w:szCs w:val="24"/>
          <w:lang w:val="sr-Latn-CS"/>
        </w:rPr>
        <w:t>Draft Law on Amendments on Law on the Transport of Dangerous Goods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3.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stabilizaciji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pridruživanju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između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Evropskih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zajednica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njihovih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država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članica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jedne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Srbije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druge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(„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glasnik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RS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”,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broj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83/08) (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daljem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tekstu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odnosno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trgovini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trgovinskim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pitanjima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između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zajednice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jedne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Republike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Srbije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druge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strane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(„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glasnik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RS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”,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broj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83/08) (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daljem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tekstu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: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Prelazni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):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sr-Latn-CS" w:eastAsia="hr-HR"/>
        </w:rPr>
      </w:pPr>
    </w:p>
    <w:p w:rsidR="00C532DC" w:rsidRPr="00A022B0" w:rsidRDefault="00410759" w:rsidP="00410759">
      <w:pPr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ab/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Ne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postoji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potreba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usklađivanja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Predloga</w:t>
      </w: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izmenama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dopunama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transportu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opasne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hAnsi="Times New Roman"/>
          <w:noProof/>
          <w:sz w:val="24"/>
          <w:szCs w:val="24"/>
          <w:lang w:val="sr-Latn-CS"/>
        </w:rPr>
        <w:t>robe</w:t>
      </w:r>
      <w:r w:rsidR="002B4D39" w:rsidRPr="00A022B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odredbama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Sporazuma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o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stabilizaciji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pridruživanju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između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Evropskih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zajednica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njihovih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država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članica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jedne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strane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Republike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Srbije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druge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strane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odnosno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odredbama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Prelaznog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sporazuma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o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trgovini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trgovinskim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pitanjima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između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Evropske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zajednice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jedne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strane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i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Republike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Srbije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sa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druge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strane</w:t>
      </w:r>
      <w:r w:rsidR="002B4D39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.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Odredba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koja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odnose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normativnu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sadržinu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propisa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b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Prelazni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rok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za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usklađivanje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zakonodavstva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odredbama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v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Ocena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ispunjenosti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obaveze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koje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proizlaze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navedene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odredbe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g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Razlozi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za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delimično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ispunjavanje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odnosno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neispunjavanje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obaveza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koje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proizlaze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navedene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odredbe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Prelaznog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sporazuma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Veza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Nacionalnim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programom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za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usvajanje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pravnih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tekovina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="00C532DC"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.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/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4.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propisima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: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Navođenje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odredbi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primarnih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izvora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prava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ocene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njima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lastRenderedPageBreak/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b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Navođenje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sekundarnih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izvora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prava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ocene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njima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v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Navođenje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ostalih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izvora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prava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njima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g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Razlozi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za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delimičnu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odnosno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neusklađenost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/</w:t>
      </w:r>
    </w:p>
    <w:p w:rsidR="00C532DC" w:rsidRPr="00A022B0" w:rsidRDefault="00A022B0" w:rsidP="00C532DC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lang w:val="sr-Latn-CS" w:eastAsia="hr-H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)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Rok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kojem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predviđeno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postizanje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potpune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usklađenosti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propisima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="00C532DC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.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sr-Latn-CS" w:eastAsia="hr-HR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5. 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Ukoliko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postoje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odgovarajuće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nadležnosti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materiji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koju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reguliše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/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ili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postoje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odgovarajući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sekundarni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izvori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prava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Evropske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unije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kojima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je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obezbediti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usklađenost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je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obrazložiti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tu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činjenicu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.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ovom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slučaju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nije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popunjavati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Tabelu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usklađenosti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propisa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.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Tabelu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usklađenosti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nije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potrebno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popunjavati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ukoliko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domaćim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propisom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ne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vrši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prenos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odredbi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sekundarnog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izvora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prava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Evropske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unije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već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isključivo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vrši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primena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ili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sprovođenje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nekog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zahteva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koji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proizilazi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iz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odredbe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sekundarnog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izvora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prava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(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npr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.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Predlogom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odluke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izradi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strateške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procene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uticaja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biće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sprovedena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obaveza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iz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člana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4.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Direktive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2001/42/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EZ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,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ali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se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ne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vrši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prenos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te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odredbe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>direktive</w:t>
      </w:r>
      <w:r w:rsidRPr="00A022B0">
        <w:rPr>
          <w:rFonts w:ascii="Times New Roman" w:eastAsia="Times New Roman" w:hAnsi="Times New Roman"/>
          <w:b/>
          <w:noProof/>
          <w:color w:val="000000"/>
          <w:sz w:val="24"/>
          <w:szCs w:val="24"/>
          <w:lang w:val="sr-Latn-CS" w:eastAsia="hr-HR"/>
        </w:rPr>
        <w:t xml:space="preserve">).  </w:t>
      </w:r>
    </w:p>
    <w:p w:rsidR="00C532DC" w:rsidRPr="00A022B0" w:rsidRDefault="00C532DC" w:rsidP="00C53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sr-Latn-CS" w:eastAsia="hr-HR"/>
        </w:rPr>
      </w:pPr>
    </w:p>
    <w:p w:rsidR="00C532DC" w:rsidRPr="00A022B0" w:rsidRDefault="002A5DC7" w:rsidP="002A5DC7">
      <w:pPr>
        <w:ind w:left="1004" w:firstLine="436"/>
        <w:rPr>
          <w:rFonts w:ascii="Times New Roman" w:hAnsi="Times New Roman"/>
          <w:noProof/>
          <w:sz w:val="24"/>
          <w:szCs w:val="24"/>
          <w:lang w:val="sr-Latn-CS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 xml:space="preserve">    </w:t>
      </w: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ab/>
      </w: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ab/>
      </w: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ab/>
      </w: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ab/>
        <w:t>/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6.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li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prethodno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navedeni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izvori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prava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prevedeni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srpski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jezik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?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/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7.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Da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li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preveden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neki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službeni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jezik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Evropske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unije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?</w:t>
      </w:r>
    </w:p>
    <w:p w:rsidR="00C532DC" w:rsidRPr="00A022B0" w:rsidRDefault="00C532DC" w:rsidP="00410759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/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8.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Učešće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konsultanata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izradi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propisa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i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njihovo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mišljenje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o</w:t>
      </w:r>
      <w:r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 xml:space="preserve"> </w:t>
      </w:r>
      <w:r w:rsid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usklađenosti</w:t>
      </w:r>
      <w:r w:rsidR="002A5DC7" w:rsidRPr="00A022B0">
        <w:rPr>
          <w:rFonts w:ascii="Times New Roman" w:eastAsia="Times New Roman" w:hAnsi="Times New Roman"/>
          <w:b/>
          <w:noProof/>
          <w:sz w:val="24"/>
          <w:szCs w:val="24"/>
          <w:lang w:val="sr-Latn-CS" w:eastAsia="hr-HR"/>
        </w:rPr>
        <w:t>?</w:t>
      </w:r>
    </w:p>
    <w:p w:rsidR="00C532DC" w:rsidRPr="00A022B0" w:rsidRDefault="00C532DC" w:rsidP="00410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</w:pPr>
      <w:r w:rsidRPr="00A022B0">
        <w:rPr>
          <w:rFonts w:ascii="Times New Roman" w:eastAsia="Times New Roman" w:hAnsi="Times New Roman"/>
          <w:noProof/>
          <w:sz w:val="24"/>
          <w:szCs w:val="24"/>
          <w:lang w:val="sr-Latn-CS" w:eastAsia="hr-HR"/>
        </w:rPr>
        <w:t>/</w:t>
      </w: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532DC" w:rsidRPr="00A022B0" w:rsidRDefault="00C532DC" w:rsidP="00C532D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sectPr w:rsidR="00C532DC" w:rsidRPr="00A022B0" w:rsidSect="00E660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C5" w:rsidRDefault="001432C5" w:rsidP="00E660DB">
      <w:pPr>
        <w:spacing w:after="0" w:line="240" w:lineRule="auto"/>
      </w:pPr>
      <w:r>
        <w:separator/>
      </w:r>
    </w:p>
  </w:endnote>
  <w:endnote w:type="continuationSeparator" w:id="0">
    <w:p w:rsidR="001432C5" w:rsidRDefault="001432C5" w:rsidP="00E6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0" w:rsidRDefault="00A02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0" w:rsidRDefault="00A02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0" w:rsidRDefault="00A02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C5" w:rsidRDefault="001432C5" w:rsidP="00E660DB">
      <w:pPr>
        <w:spacing w:after="0" w:line="240" w:lineRule="auto"/>
      </w:pPr>
      <w:r>
        <w:separator/>
      </w:r>
    </w:p>
  </w:footnote>
  <w:footnote w:type="continuationSeparator" w:id="0">
    <w:p w:rsidR="001432C5" w:rsidRDefault="001432C5" w:rsidP="00E6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0" w:rsidRDefault="00A02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106267905"/>
      <w:docPartObj>
        <w:docPartGallery w:val="Page Numbers (Top of Page)"/>
        <w:docPartUnique/>
      </w:docPartObj>
    </w:sdtPr>
    <w:sdtEndPr/>
    <w:sdtContent>
      <w:p w:rsidR="00E660DB" w:rsidRPr="00A022B0" w:rsidRDefault="00E660DB">
        <w:pPr>
          <w:pStyle w:val="Header"/>
          <w:jc w:val="center"/>
          <w:rPr>
            <w:noProof/>
            <w:lang w:val="sr-Latn-CS"/>
          </w:rPr>
        </w:pPr>
        <w:r w:rsidRPr="00A022B0">
          <w:rPr>
            <w:noProof/>
            <w:lang w:val="sr-Latn-CS"/>
          </w:rPr>
          <w:fldChar w:fldCharType="begin"/>
        </w:r>
        <w:r w:rsidRPr="00A022B0">
          <w:rPr>
            <w:noProof/>
            <w:lang w:val="sr-Latn-CS"/>
          </w:rPr>
          <w:instrText xml:space="preserve"> PAGE   \* MERGEFORMAT </w:instrText>
        </w:r>
        <w:r w:rsidRPr="00A022B0">
          <w:rPr>
            <w:noProof/>
            <w:lang w:val="sr-Latn-CS"/>
          </w:rPr>
          <w:fldChar w:fldCharType="separate"/>
        </w:r>
        <w:r w:rsidR="00A022B0">
          <w:rPr>
            <w:noProof/>
            <w:lang w:val="sr-Latn-CS"/>
          </w:rPr>
          <w:t>2</w:t>
        </w:r>
        <w:r w:rsidRPr="00A022B0">
          <w:rPr>
            <w:noProof/>
            <w:lang w:val="sr-Latn-CS"/>
          </w:rPr>
          <w:fldChar w:fldCharType="end"/>
        </w:r>
      </w:p>
    </w:sdtContent>
  </w:sdt>
  <w:p w:rsidR="00E660DB" w:rsidRPr="00A022B0" w:rsidRDefault="00E660DB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0" w:rsidRDefault="00A02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DC"/>
    <w:rsid w:val="001432C5"/>
    <w:rsid w:val="002A5DC7"/>
    <w:rsid w:val="002B4D39"/>
    <w:rsid w:val="002D40FC"/>
    <w:rsid w:val="00365E24"/>
    <w:rsid w:val="00410759"/>
    <w:rsid w:val="004E59E7"/>
    <w:rsid w:val="006E300D"/>
    <w:rsid w:val="00A022B0"/>
    <w:rsid w:val="00B5769B"/>
    <w:rsid w:val="00C114EA"/>
    <w:rsid w:val="00C532DC"/>
    <w:rsid w:val="00C64FB7"/>
    <w:rsid w:val="00D4497B"/>
    <w:rsid w:val="00D56C28"/>
    <w:rsid w:val="00D67326"/>
    <w:rsid w:val="00E03290"/>
    <w:rsid w:val="00E660DB"/>
    <w:rsid w:val="00F27880"/>
    <w:rsid w:val="00F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A83A48-C6F0-40AC-8982-E8300594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8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0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Milicevic</dc:creator>
  <cp:lastModifiedBy>Bojan Grgic</cp:lastModifiedBy>
  <cp:revision>2</cp:revision>
  <cp:lastPrinted>2018-06-29T07:54:00Z</cp:lastPrinted>
  <dcterms:created xsi:type="dcterms:W3CDTF">2018-10-09T13:22:00Z</dcterms:created>
  <dcterms:modified xsi:type="dcterms:W3CDTF">2018-10-09T13:22:00Z</dcterms:modified>
</cp:coreProperties>
</file>